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0" w:type="dxa"/>
        <w:tblInd w:w="96" w:type="dxa"/>
        <w:tblLook w:val="04A0"/>
      </w:tblPr>
      <w:tblGrid>
        <w:gridCol w:w="3020"/>
        <w:gridCol w:w="960"/>
        <w:gridCol w:w="960"/>
        <w:gridCol w:w="960"/>
        <w:gridCol w:w="960"/>
        <w:gridCol w:w="5700"/>
      </w:tblGrid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bookmarkStart w:id="0" w:name="_GoBack"/>
            <w:bookmarkEnd w:id="0"/>
            <w:r w:rsidRPr="004A4B20">
              <w:rPr>
                <w:rFonts w:asciiTheme="minorHAnsi" w:eastAsia="Times New Roman" w:hAnsiTheme="minorHAnsi" w:cstheme="minorHAnsi"/>
                <w:i/>
                <w:iCs/>
                <w:color w:val="000000"/>
                <w:sz w:val="24"/>
                <w:szCs w:val="24"/>
                <w:lang w:val="lv-LV" w:eastAsia="lv-LV"/>
              </w:rPr>
              <w:t>Izcenojumi_2022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lv-LV" w:eastAsia="lv-LV"/>
              </w:rPr>
              <w:t>Flower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val="lv-LV" w:eastAsia="lv-LV"/>
              </w:rPr>
              <w:t>Balance</w:t>
            </w:r>
            <w:proofErr w:type="spellEnd"/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Produkcija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Tilpums un cena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Tilpums un cena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Apraksts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Putots ķermeņa sviests ar šī un kokosa sviestu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9,00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Maigi putotais ķermeņa sviests pabaros jūsu ādu un parūpēsies par tās mīkstināšanu un elastīgumu.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Mango ķermeņa sviests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Labi pabaros, mitrinās un nomierinās jūsu ķermeņa ādu.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Putots ķermeņa sviests ar Vaniļas sviestu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Padarīs jūsu ādu maigu un mīkstu. Novērsīs ādas lobīšanos un sausumu.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Grieztās ziepes 900 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gab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Vāru ziepes, kuru pamatā ir šī sviests, kaņepju eļļa, rīcineļļa, olīveļļa un citas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dabībās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eļļas, kā arī ēteriskās eļļas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Vārītās ziepes formiņā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bitītes ziepes, mākonītis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Masāžas ziepes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gab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Ļoti ērti lietojamas masāžas ziepītes ar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lufu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. No vienas puses jūs veicat masāžu, bet otra puse ir piemērota vieglam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skrubītim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Vannas bumbas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gab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Vannas bumbās ir sāls, eļļa un ēteriskās eļļiņas. Pēc peldes, jūsu ķermenis būs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samptains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un attīrīts. Šīs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bumas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neputo.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Vannas figūriņas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Ar vieglu putojošu efektu, ar eļļu pieskārienu, lai jūsu āda saņem nepieciešamo mitrināšanu.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Vannas rulete-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Patīkamai atpūtai vannā, bagātīgas putas un ēterisko eļļu dievīgais aromāts.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Vannas rulete  -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11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Ķermeņa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ar cukuru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Glowing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3,50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Šis ķermeņa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ir piemērots ļoti sausai ķermeņa ādai vai atsevišķām vietiņām, piemēram, papēžiem, elkoņiem. Pēc lietošanas āda kļūst ļoti maiga un zīdaina. Pēc šī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skrubja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lietošanas, nav nepieciešams lietot ķermeņa sviestu vai krēmu.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lastRenderedPageBreak/>
              <w:t xml:space="preserve">Ķermeņa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ar sāli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120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Sāls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ne tikai attīrīs jūsu ādu no netīrumiem un atmirušajām ādas šūnām, bet arī noderēs kā enerģētiskā lauka attīrītājs.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Cukura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uz ziepju bāzes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Skrubītis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ir piemērots ikdienas lietošanai dušā. Tas viegli puto, ne tikai attīrot ādu no netīrumiem, bet arī viegli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noskrubējot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vecās ādas šūniņas.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Vannas sāls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120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Pagatavoju ar dažādām ēteriskajām eļļām.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Lūpu balzāms ar Vaniļas sviestu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gab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Lieliski mīkstinās un mitrinās jūsu lūpas, padarot tās zīdaini maigas. 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Barojoša roku ziedīte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gab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Roku ādas un kutikulu mīkstināšanai un dziedināšanai. 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Sejas maska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Pēc klienta vēlmēm pagatavoju dažāda veida sejas maskas, piemēram, ar auzu cieti, aveņu pulveri, zaļās tējas pulveri u.c.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sejai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Mitrinošais dienas krēms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Ir iespējams pagatavot mitrinošo dienas krēmu pēc klienta vēlmēm un risināmā jautājuma. (sausai, taukainai, jūtīgai, normālai sejas ādai) 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Vakara eļļiņa sejai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Vakara eļļiņa tiek pagatavota individuāli pēc klientam vajadzīgā rezultāta.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Gēls acu plakstiņiem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Acu gēls palīdzēs saglabāt jūsu ādu ap acīm svaigu un starojošu. 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Barojošs krēms sausai ādai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Palīdz ļoti sausai ādai atgūties un sniedz tai mīkstumu un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samptainumu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. Ļoti labi piemērots ir papēžiem, elkoņiem un ceļgaliem, kā arī ļoti sausām lūpām.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Hidrolāti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Hidrolāts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ir augu produkts, ko iegūst destilējot augus. Tas ir augu dvēselītes izvilkums, kas efektīvi iedarbojas veselības uzlabošanā un skaistumkopšanā.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Dušas krēms uz ziepju bāzes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Zīdaini maigs dušas krēms, pielīdzinām maigam sūklītim</w:t>
            </w:r>
          </w:p>
        </w:tc>
      </w:tr>
      <w:tr w:rsidR="004A4B20" w:rsidRPr="004A4B20" w:rsidTr="004A4B20">
        <w:trPr>
          <w:trHeight w:val="86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lastRenderedPageBreak/>
              <w:t>Dušas krēms uz SLSA bāzes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14,00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Maigs, viegli putojošs līdzeklis, ko lietot dušas želejas vietā. Tā struktūra līdzinās maigam krēmam. Šis dušas krēms labi pabaros jūsu ādu un piešķirs tai maigumu.</w:t>
            </w:r>
          </w:p>
        </w:tc>
      </w:tr>
      <w:tr w:rsidR="004A4B20" w:rsidRPr="004A4B20" w:rsidTr="004A4B20">
        <w:trPr>
          <w:trHeight w:val="11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Krēmveida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šampūns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120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Putojošs šampūns, kura sastāvā ir rīsu proteīns,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keratīns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, B5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provitamīns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, ēteriskās eļļas un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hidrolāti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. Gatavoju pēc risināmā jautājuma, taukainiem matiem, matiem ar tendenci izkrist, matu sakņu stiprināšanai u.c.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Lūpu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Pagatavoju lūpu </w:t>
            </w:r>
            <w:proofErr w:type="spellStart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skrubi</w:t>
            </w:r>
            <w:proofErr w:type="spellEnd"/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 xml:space="preserve"> uz sviesta pamata vai uz bišu vaska pamata.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sveces betona trauciņā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sveces apaļā betona trauciņā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sveces stikla glāzītē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sveces ar augu un sojas konteineri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 - kokteilis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Sojas vaska svece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Bišu vaska svece ar augiem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  <w:tr w:rsidR="004A4B20" w:rsidRPr="004A4B20" w:rsidTr="004A4B20">
        <w:trPr>
          <w:trHeight w:val="57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Bišu vaska svece ar augiem, mazās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1gb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lv-LV" w:eastAsia="lv-LV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B20" w:rsidRPr="004A4B20" w:rsidRDefault="004A4B20" w:rsidP="004A4B20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</w:pPr>
            <w:r w:rsidRPr="004A4B2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lv-LV" w:eastAsia="lv-LV"/>
              </w:rPr>
              <w:t> </w:t>
            </w:r>
          </w:p>
        </w:tc>
      </w:tr>
    </w:tbl>
    <w:p w:rsidR="00F12C76" w:rsidRPr="004A4B20" w:rsidRDefault="00F12C76" w:rsidP="006C0B77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sectPr w:rsidR="00F12C76" w:rsidRPr="004A4B20" w:rsidSect="004A4B20">
      <w:pgSz w:w="16838" w:h="11906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4B20"/>
    <w:rsid w:val="00227E12"/>
    <w:rsid w:val="002D2A0D"/>
    <w:rsid w:val="004A4B2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2756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2022-11-27T14:26:00Z</dcterms:created>
  <dcterms:modified xsi:type="dcterms:W3CDTF">2022-11-27T14:31:00Z</dcterms:modified>
</cp:coreProperties>
</file>